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rFonts w:ascii="Times New Roman" w:hAnsi="Times New Roman"/>
          <w:b/>
          <w:b/>
          <w:bCs/>
          <w:color w:val="B400B4"/>
          <w:sz w:val="32"/>
          <w:szCs w:val="32"/>
          <w:u w:val="single"/>
        </w:rPr>
      </w:pPr>
      <w:r>
        <w:rPr>
          <w:b/>
          <w:bCs/>
          <w:color w:val="B400B4"/>
          <w:sz w:val="32"/>
          <w:szCs w:val="32"/>
          <w:u w:val="single"/>
        </w:rPr>
        <w:t>Discriminati</w:t>
      </w:r>
    </w:p>
    <w:p>
      <w:pPr>
        <w:pStyle w:val="NormalWeb"/>
        <w:spacing w:before="0" w:after="28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U.S. Mint has unveiled new </w:t>
      </w:r>
      <w:r>
        <w:rPr>
          <w:b/>
          <w:bCs/>
          <w:color w:val="0000FF"/>
          <w:sz w:val="28"/>
          <w:szCs w:val="28"/>
        </w:rPr>
        <w:t>coin designs</w:t>
      </w:r>
      <w:r>
        <w:rPr>
          <w:b/>
          <w:bCs/>
          <w:sz w:val="28"/>
          <w:szCs w:val="28"/>
        </w:rPr>
        <w:t xml:space="preserve"> to celebrate America’s 25</w:t>
      </w:r>
      <w:r>
        <w:rPr>
          <w:b/>
          <w:bCs/>
          <w:sz w:val="28"/>
          <w:szCs w:val="28"/>
        </w:rPr>
        <w:t>0th</w:t>
      </w:r>
      <w:r>
        <w:rPr>
          <w:b/>
          <w:bCs/>
          <w:sz w:val="28"/>
          <w:szCs w:val="28"/>
        </w:rPr>
        <w:t xml:space="preserve"> anniversary, including a Pilgrim couple staring into the distance and profiles of presidents George Washington, James Madison, and Abraham Lincoln. Treasury Secretary Scott Bessent rejected all designs recommended by a bipartisan </w:t>
      </w:r>
      <w:r>
        <w:rPr>
          <w:b/>
          <w:bCs/>
          <w:sz w:val="28"/>
          <w:szCs w:val="28"/>
        </w:rPr>
        <w:t xml:space="preserve">advisory </w:t>
      </w:r>
      <w:r>
        <w:rPr>
          <w:b/>
          <w:bCs/>
          <w:sz w:val="28"/>
          <w:szCs w:val="28"/>
        </w:rPr>
        <w:t xml:space="preserve">committee, including images that honored the abolition of slavery, women’s suffrage, and the civil right movement. </w:t>
      </w:r>
      <w:r>
        <w:rPr>
          <w:b/>
          <w:bCs/>
          <w:i/>
          <w:iCs/>
          <w:sz w:val="28"/>
          <w:szCs w:val="28"/>
        </w:rPr>
        <w:t xml:space="preserve">(CNBC.com, as it appeared in </w:t>
      </w:r>
      <w:r>
        <w:rPr>
          <w:rStyle w:val="Emphasis"/>
          <w:b/>
          <w:bCs/>
          <w:i/>
          <w:iCs/>
          <w:color w:val="000000"/>
          <w:sz w:val="28"/>
          <w:szCs w:val="28"/>
          <w:u w:val="single"/>
        </w:rPr>
        <w:t>The Week</w:t>
      </w:r>
      <w:r>
        <w:rPr>
          <w:rStyle w:val="Emphasis"/>
          <w:b/>
          <w:bCs/>
          <w:i/>
          <w:iCs/>
          <w:color w:val="000000"/>
          <w:sz w:val="28"/>
          <w:szCs w:val="28"/>
        </w:rPr>
        <w:t xml:space="preserve"> magazine, December 26, 2025/January 2, 2026)</w:t>
      </w:r>
    </w:p>
    <w:p>
      <w:pPr>
        <w:pStyle w:val="Normal"/>
        <w:spacing w:lineRule="auto" w:line="240" w:before="0" w:after="280"/>
        <w:jc w:val="left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The Securities and Exchange Commission has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stopped or slowed action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on more than 60% of </w:t>
      </w:r>
      <w:r>
        <w:rPr>
          <w:rFonts w:ascii="Times New Roman" w:hAnsi="Times New Roman"/>
          <w:b/>
          <w:bCs/>
          <w:i w:val="false"/>
          <w:iCs w:val="false"/>
          <w:color w:val="0000FF"/>
          <w:sz w:val="28"/>
          <w:szCs w:val="28"/>
        </w:rPr>
        <w:t>cryptocurrency cases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that were ongoing when President Trump returned to office. All cases against firms linked to the Trump administration or that donated to the president’s political causes have been dropped.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(The New York Times, as it appeared in </w:t>
      </w:r>
      <w:r>
        <w:rPr>
          <w:rStyle w:val="Emphasis"/>
          <w:rFonts w:ascii="Times New Roman" w:hAnsi="Times New Roman"/>
          <w:b/>
          <w:bCs/>
          <w:color w:val="000000"/>
          <w:sz w:val="28"/>
          <w:szCs w:val="28"/>
          <w:u w:val="single"/>
        </w:rPr>
        <w:t>The Week</w:t>
      </w:r>
      <w:r>
        <w:rPr>
          <w:rStyle w:val="Emphasis"/>
          <w:rFonts w:ascii="Times New Roman" w:hAnsi="Times New Roman"/>
          <w:b/>
          <w:bCs/>
          <w:color w:val="000000"/>
          <w:sz w:val="28"/>
          <w:szCs w:val="28"/>
        </w:rPr>
        <w:t xml:space="preserve"> magazine, December 26, 2025/January 2, 2026)</w:t>
      </w:r>
    </w:p>
    <w:p>
      <w:pPr>
        <w:pStyle w:val="NormalWeb"/>
        <w:spacing w:before="0" w:after="28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Interior Department has told national parks to pull f</w:t>
      </w: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om their </w:t>
      </w:r>
      <w:r>
        <w:rPr>
          <w:b/>
          <w:bCs/>
          <w:color w:val="0000FF"/>
          <w:sz w:val="28"/>
          <w:szCs w:val="28"/>
        </w:rPr>
        <w:t>gift shops</w:t>
      </w:r>
      <w:r>
        <w:rPr>
          <w:b/>
          <w:bCs/>
          <w:sz w:val="28"/>
          <w:szCs w:val="28"/>
        </w:rPr>
        <w:t xml:space="preserve"> any items related to diversity, equity, </w:t>
      </w:r>
      <w:r>
        <w:rPr>
          <w:b/>
          <w:bCs/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inclusion;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US" w:eastAsia="en-US" w:bidi="ar-SA"/>
        </w:rPr>
        <w:t>g</w:t>
      </w:r>
      <w:r>
        <w:rPr>
          <w:b/>
          <w:bCs/>
          <w:sz w:val="28"/>
          <w:szCs w:val="28"/>
        </w:rPr>
        <w:t xml:space="preserve">ender expression; or “environmental justice,” giving them a deadline of December 19. The department gave no examples of forbidden items. The goal, said the agency, is to create “neutral spaces that serve all visitors.” </w:t>
      </w:r>
      <w:r>
        <w:rPr>
          <w:b/>
          <w:bCs/>
          <w:i/>
          <w:iCs/>
          <w:sz w:val="28"/>
          <w:szCs w:val="28"/>
        </w:rPr>
        <w:t xml:space="preserve">(The Hill, as it appeared in </w:t>
      </w:r>
      <w:r>
        <w:rPr>
          <w:rStyle w:val="Emphasis"/>
          <w:b/>
          <w:bCs/>
          <w:i/>
          <w:iCs/>
          <w:color w:val="000000"/>
          <w:sz w:val="28"/>
          <w:szCs w:val="28"/>
          <w:u w:val="single"/>
        </w:rPr>
        <w:t>The Week</w:t>
      </w:r>
      <w:r>
        <w:rPr>
          <w:rStyle w:val="Emphasis"/>
          <w:b/>
          <w:bCs/>
          <w:i/>
          <w:iCs/>
          <w:color w:val="000000"/>
          <w:sz w:val="28"/>
          <w:szCs w:val="28"/>
        </w:rPr>
        <w:t xml:space="preserve"> magazine, December 26, 2025/January 2, 2026)</w:t>
      </w:r>
    </w:p>
    <w:p>
      <w:pPr>
        <w:pStyle w:val="NormalWeb"/>
        <w:spacing w:before="0" w:after="28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2020, the American Heart Association released a statement that noted that more than half of </w:t>
      </w:r>
      <w:r>
        <w:rPr>
          <w:b/>
          <w:bCs/>
          <w:color w:val="0000FF"/>
          <w:sz w:val="28"/>
          <w:szCs w:val="28"/>
        </w:rPr>
        <w:t>LGBTQ patients</w:t>
      </w:r>
      <w:r>
        <w:rPr>
          <w:b/>
          <w:bCs/>
          <w:sz w:val="28"/>
          <w:szCs w:val="28"/>
        </w:rPr>
        <w:t xml:space="preserve"> reported discrimination from health care professionals, leading to adverse outcomes. </w:t>
      </w:r>
      <w:r>
        <w:rPr>
          <w:b/>
          <w:bCs/>
          <w:i/>
          <w:iCs/>
          <w:sz w:val="28"/>
          <w:szCs w:val="28"/>
        </w:rPr>
        <w:t xml:space="preserve">(Louis Weber, CEO, Publications International Ltd., in </w:t>
      </w:r>
      <w:r>
        <w:rPr>
          <w:b/>
          <w:i/>
          <w:iCs/>
          <w:sz w:val="28"/>
          <w:szCs w:val="28"/>
          <w:u w:val="single"/>
        </w:rPr>
        <w:t>The Book of 10,000 Incredible Facts</w:t>
      </w:r>
      <w:r>
        <w:rPr>
          <w:b/>
          <w:i/>
          <w:iCs/>
          <w:sz w:val="28"/>
          <w:szCs w:val="28"/>
        </w:rPr>
        <w:t>, on page 387)</w:t>
      </w:r>
    </w:p>
    <w:p>
      <w:pPr>
        <w:pStyle w:val="NormalWeb"/>
        <w:spacing w:before="0" w:after="280"/>
        <w:jc w:val="left"/>
        <w:rPr>
          <w:b/>
          <w:b/>
          <w:bCs/>
          <w:sz w:val="28"/>
          <w:szCs w:val="28"/>
        </w:rPr>
      </w:pPr>
      <w:r>
        <w:rPr>
          <w:b/>
          <w:i w:val="false"/>
          <w:iCs w:val="false"/>
          <w:sz w:val="28"/>
          <w:szCs w:val="28"/>
        </w:rPr>
        <w:t>In 1995, EMTs were treating a woman named Tyra Hunter after a car accident. They abruptly stopped treating her, and when she was brought to the hospital she was given substandard care and died. The EMTs had stopped treating her when the</w:t>
      </w:r>
      <w:r>
        <w:rPr>
          <w:rFonts w:eastAsia="Times New Roman" w:cs="Times New Roman"/>
          <w:b/>
          <w:i w:val="false"/>
          <w:iCs w:val="false"/>
          <w:color w:val="auto"/>
          <w:kern w:val="0"/>
          <w:sz w:val="28"/>
          <w:szCs w:val="28"/>
          <w:lang w:val="en-US" w:eastAsia="en-US" w:bidi="ar-SA"/>
        </w:rPr>
        <w:t>y</w:t>
      </w:r>
      <w:r>
        <w:rPr>
          <w:b/>
          <w:i w:val="false"/>
          <w:iCs w:val="false"/>
          <w:sz w:val="28"/>
          <w:szCs w:val="28"/>
        </w:rPr>
        <w:t xml:space="preserve"> realized she was </w:t>
      </w:r>
      <w:r>
        <w:rPr>
          <w:b/>
          <w:i w:val="false"/>
          <w:iCs w:val="false"/>
          <w:color w:val="0000FF"/>
          <w:sz w:val="28"/>
          <w:szCs w:val="28"/>
        </w:rPr>
        <w:t>trans</w:t>
      </w:r>
      <w:r>
        <w:rPr>
          <w:b/>
          <w:i w:val="false"/>
          <w:iCs w:val="false"/>
          <w:sz w:val="28"/>
          <w:szCs w:val="28"/>
        </w:rPr>
        <w:t>.</w:t>
      </w:r>
      <w:r>
        <w:rPr>
          <w:b/>
          <w:i/>
          <w:iCs/>
          <w:sz w:val="28"/>
          <w:szCs w:val="28"/>
        </w:rPr>
        <w:t xml:space="preserve"> (Louis Weber, CEO, Publications International Ltd., in </w:t>
      </w:r>
      <w:r>
        <w:rPr>
          <w:b/>
          <w:i/>
          <w:iCs/>
          <w:sz w:val="28"/>
          <w:szCs w:val="28"/>
          <w:u w:val="single"/>
        </w:rPr>
        <w:t>The Book of 10,000 Incredible Facts</w:t>
      </w:r>
      <w:r>
        <w:rPr>
          <w:b/>
          <w:i/>
          <w:iCs/>
          <w:sz w:val="28"/>
          <w:szCs w:val="28"/>
        </w:rPr>
        <w:t>, on page 387)</w:t>
      </w:r>
    </w:p>
    <w:p>
      <w:pPr>
        <w:pStyle w:val="NormalWeb"/>
        <w:spacing w:before="0" w:after="280"/>
        <w:jc w:val="left"/>
        <w:rPr>
          <w:i w:val="false"/>
          <w:i w:val="false"/>
          <w:iCs w:val="false"/>
          <w:color w:val="B400B4"/>
        </w:rPr>
      </w:pPr>
      <w:r>
        <w:rPr>
          <w:b/>
          <w:i w:val="false"/>
          <w:iCs w:val="false"/>
          <w:color w:val="B400B4"/>
          <w:sz w:val="28"/>
          <w:szCs w:val="28"/>
        </w:rPr>
        <w:t>******************************************************************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322246"/>
    </w:sdtPr>
    <w:sdtContent>
      <w:p>
        <w:pPr>
          <w:pStyle w:val="Normal"/>
          <w:jc w:val="center"/>
          <w:rPr>
            <w:color w:val="B400B4"/>
          </w:rPr>
        </w:pP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t xml:space="preserve">Discrimination - </w:t>
        </w: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fldChar w:fldCharType="begin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instrText> PAGE </w:instrTex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separate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t>1</w: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HTML Cite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29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Cite">
    <w:name w:val="HTML Cite"/>
    <w:basedOn w:val="DefaultParagraphFont"/>
    <w:semiHidden/>
    <w:unhideWhenUsed/>
    <w:qFormat/>
    <w:rsid w:val="00eb0924"/>
    <w:rPr>
      <w:i/>
      <w:i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2b441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b4419"/>
    <w:rPr/>
  </w:style>
  <w:style w:type="character" w:styleId="Infolabel">
    <w:name w:val="info-label"/>
    <w:qFormat/>
    <w:rPr/>
  </w:style>
  <w:style w:type="character" w:styleId="Date">
    <w:name w:val="date"/>
    <w:qFormat/>
    <w:rPr/>
  </w:style>
  <w:style w:type="character" w:styleId="HTMLAddressChar">
    <w:name w:val="HTML Address Char"/>
    <w:qFormat/>
    <w:rPr>
      <w:rFonts w:ascii="Times New Roman" w:hAnsi="Times New Roman" w:eastAsia="Times New Roman" w:cs="Times New Roman"/>
      <w:i/>
      <w:iCs/>
    </w:rPr>
  </w:style>
  <w:style w:type="character" w:styleId="More">
    <w:name w:val="more"/>
    <w:qFormat/>
    <w:rPr/>
  </w:style>
  <w:style w:type="character" w:styleId="Locality">
    <w:name w:val="locality"/>
    <w:qFormat/>
    <w:rPr/>
  </w:style>
  <w:style w:type="character" w:styleId="Streetaddress">
    <w:name w:val="street-address"/>
    <w:qFormat/>
    <w:rPr/>
  </w:style>
  <w:style w:type="character" w:styleId="Formataddress">
    <w:name w:val="format_address"/>
    <w:qFormat/>
    <w:rPr/>
  </w:style>
  <w:style w:type="character" w:styleId="BodyTextChar">
    <w:name w:val="Body Text Char"/>
    <w:qFormat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HTMLTypewriter">
    <w:name w:val="HTML Typewriter"/>
    <w:qFormat/>
    <w:rPr>
      <w:rFonts w:ascii="Courier New" w:hAnsi="Courier New" w:eastAsia="Times New Roman" w:cs="Courier New"/>
      <w:b w:val="false"/>
      <w:sz w:val="20"/>
      <w:szCs w:val="20"/>
    </w:rPr>
  </w:style>
  <w:style w:type="character" w:styleId="HTMLPreformattedChar">
    <w:name w:val="HTML Preformatted Char"/>
    <w:qFormat/>
    <w:rPr>
      <w:rFonts w:ascii="Courier New" w:hAnsi="Courier New" w:eastAsia="Times New Roman" w:cs="Courier New"/>
      <w:b w:val="false"/>
      <w:sz w:val="20"/>
      <w:szCs w:val="20"/>
    </w:rPr>
  </w:style>
  <w:style w:type="character" w:styleId="WW8Num1z0">
    <w:name w:val="WW8Num1z0"/>
    <w:qFormat/>
    <w:rPr/>
  </w:style>
  <w:style w:type="character" w:styleId="SubtitleChar">
    <w:name w:val="Subtitle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Heading5Char">
    <w:name w:val="Heading 5 Char"/>
    <w:qFormat/>
    <w:rPr>
      <w:rFonts w:ascii="Cambria" w:hAnsi="Cambria" w:cs="0"/>
      <w:color w:val="243F60"/>
    </w:rPr>
  </w:style>
  <w:style w:type="character" w:styleId="BodyText3Char">
    <w:name w:val="Body Text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Visuallyhidden">
    <w:name w:val="visuallyhidden"/>
    <w:qFormat/>
    <w:rPr/>
  </w:style>
  <w:style w:type="character" w:styleId="Prodattrib">
    <w:name w:val="prod-attrib"/>
    <w:qFormat/>
    <w:rPr/>
  </w:style>
  <w:style w:type="character" w:styleId="Highlight">
    <w:name w:val="highlight"/>
    <w:qFormat/>
    <w:rPr/>
  </w:style>
  <w:style w:type="character" w:styleId="SubtleEmphasis">
    <w:name w:val="Subtle Emphasis"/>
    <w:qFormat/>
    <w:rPr>
      <w:i/>
      <w:iCs/>
      <w:color w:val="808080"/>
    </w:rPr>
  </w:style>
  <w:style w:type="character" w:styleId="BookTitle">
    <w:name w:val="Book Title"/>
    <w:qFormat/>
    <w:rPr>
      <w:i/>
      <w:iCs/>
      <w:smallCaps/>
      <w:spacing w:val="5"/>
    </w:rPr>
  </w:style>
  <w:style w:type="character" w:styleId="IntenseReference">
    <w:name w:val="Intense Reference"/>
    <w:qFormat/>
    <w:rPr>
      <w:smallCaps/>
      <w:spacing w:val="5"/>
      <w:u w:val="single"/>
    </w:rPr>
  </w:style>
  <w:style w:type="character" w:styleId="SubtleReference">
    <w:name w:val="Subtle Reference"/>
    <w:qFormat/>
    <w:rPr>
      <w:smallCaps/>
    </w:rPr>
  </w:style>
  <w:style w:type="character" w:styleId="IntenseEmphasis">
    <w:name w:val="Intense Emphasis"/>
    <w:qFormat/>
    <w:rPr>
      <w:b/>
      <w:bCs/>
    </w:rPr>
  </w:style>
  <w:style w:type="character" w:styleId="IntenseQuoteChar">
    <w:name w:val="Intense Quote Char"/>
    <w:qFormat/>
    <w:rPr>
      <w:b/>
      <w:bCs/>
      <w:i/>
      <w:iCs/>
    </w:rPr>
  </w:style>
  <w:style w:type="character" w:styleId="QuoteChar">
    <w:name w:val="Quote Char"/>
    <w:qFormat/>
    <w:rPr>
      <w:i/>
      <w:iCs/>
    </w:rPr>
  </w:style>
  <w:style w:type="character" w:styleId="Heading9Char">
    <w:name w:val="Heading 9 Char"/>
    <w:qFormat/>
    <w:rPr>
      <w:rFonts w:ascii="Cambria" w:hAnsi="Cambria" w:cs="0"/>
      <w:i/>
      <w:iCs/>
      <w:spacing w:val="5"/>
      <w:sz w:val="20"/>
      <w:szCs w:val="20"/>
    </w:rPr>
  </w:style>
  <w:style w:type="character" w:styleId="Heading8Char">
    <w:name w:val="Heading 8 Char"/>
    <w:qFormat/>
    <w:rPr>
      <w:rFonts w:ascii="Cambria" w:hAnsi="Cambria" w:cs="0"/>
      <w:sz w:val="20"/>
      <w:szCs w:val="20"/>
    </w:rPr>
  </w:style>
  <w:style w:type="character" w:styleId="Heading7Char">
    <w:name w:val="Heading 7 Char"/>
    <w:qFormat/>
    <w:rPr>
      <w:rFonts w:ascii="Cambria" w:hAnsi="Cambria" w:cs="0"/>
      <w:i/>
      <w:iCs/>
    </w:rPr>
  </w:style>
  <w:style w:type="character" w:styleId="Heading6Char">
    <w:name w:val="Heading 6 Char"/>
    <w:qFormat/>
    <w:rPr>
      <w:rFonts w:ascii="Cambria" w:hAnsi="Cambria" w:cs="0"/>
      <w:b/>
      <w:bCs/>
      <w:i/>
      <w:iCs/>
      <w:color w:val="7F7F7F"/>
    </w:rPr>
  </w:style>
  <w:style w:type="character" w:styleId="Heading4Char">
    <w:name w:val="Heading 4 Char"/>
    <w:qFormat/>
    <w:rPr>
      <w:rFonts w:ascii="Cambria" w:hAnsi="Cambria" w:cs="0"/>
      <w:b/>
      <w:bCs/>
      <w:i/>
      <w:iCs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</w:rPr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b/>
      <w:color w:val="000000"/>
      <w:sz w:val="28"/>
      <w:szCs w:val="28"/>
    </w:rPr>
  </w:style>
  <w:style w:type="character" w:styleId="Appleconvertedspace">
    <w:name w:val="apple-converted-space"/>
    <w:qFormat/>
    <w:rPr/>
  </w:style>
  <w:style w:type="character" w:styleId="Spelle">
    <w:name w:val="spelle"/>
    <w:qFormat/>
    <w:rPr/>
  </w:style>
  <w:style w:type="character" w:styleId="Heading2Char">
    <w:name w:val="Heading 2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TitleChar">
    <w:name w:val="Title Char"/>
    <w:qFormat/>
    <w:rPr>
      <w:rFonts w:ascii="Times New Roman" w:hAnsi="Times New Roman" w:eastAsia="Times New Roman" w:cs="Times New Roman"/>
      <w:b/>
      <w:bCs/>
      <w:sz w:val="32"/>
      <w:u w:val="single"/>
    </w:rPr>
  </w:style>
  <w:style w:type="character" w:styleId="Strong">
    <w:name w:val="Strong"/>
    <w:qFormat/>
    <w:rPr>
      <w:b/>
      <w:bCs/>
    </w:rPr>
  </w:style>
  <w:style w:type="character" w:styleId="Heading3Char">
    <w:name w:val="Heading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Pagenumber">
    <w:name w:val="page number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basedOn w:val="Normal"/>
    <w:qFormat/>
    <w:rsid w:val="00bd3c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nhideWhenUsed/>
    <w:qFormat/>
    <w:rsid w:val="00556a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2b441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b441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TMLAddress">
    <w:name w:val="HTML Address"/>
    <w:basedOn w:val="Normal"/>
    <w:qFormat/>
    <w:pPr>
      <w:spacing w:lineRule="exact" w:line="240"/>
    </w:pPr>
    <w:rPr>
      <w:rFonts w:ascii="Times New Roman" w:hAnsi="Times New Roman" w:eastAsia="Times New Roman" w:cs="Times New Roman"/>
      <w:i/>
      <w:iCs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b w:val="false"/>
      <w:bCs w:val="false"/>
      <w:sz w:val="20"/>
      <w:szCs w:val="20"/>
    </w:rPr>
  </w:style>
  <w:style w:type="paragraph" w:styleId="Body">
    <w:name w:val="body"/>
    <w:basedOn w:val="Normal"/>
    <w:qFormat/>
    <w:pPr>
      <w:spacing w:before="100" w:after="10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TOCHeading">
    <w:name w:val="TOC Heading"/>
    <w:basedOn w:val="Heading1"/>
    <w:qFormat/>
    <w:pPr>
      <w:keepNext w:val="true"/>
      <w:spacing w:before="480" w:after="120"/>
      <w:contextualSpacing/>
    </w:pPr>
    <w:rPr>
      <w:rFonts w:ascii="Cambria" w:hAnsi="Cambria" w:eastAsia="Microsoft YaHei" w:cs="0"/>
      <w:b/>
      <w:bCs/>
      <w:kern w:val="2"/>
      <w:sz w:val="28"/>
      <w:szCs w:val="28"/>
    </w:rPr>
  </w:style>
  <w:style w:type="paragraph" w:styleId="IntenseQuote">
    <w:name w:val="Intense Quote"/>
    <w:basedOn w:val="Normal"/>
    <w:qFormat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Quote">
    <w:name w:val="Quote"/>
    <w:basedOn w:val="Normal"/>
    <w:qFormat/>
    <w:pPr>
      <w:spacing w:before="200" w:after="200"/>
      <w:ind w:left="360" w:right="360" w:hanging="0"/>
    </w:pPr>
    <w:rPr>
      <w:i/>
      <w:i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basedOn w:val="Normal"/>
    <w:qFormat/>
    <w:pPr>
      <w:spacing w:lineRule="exact" w:line="240"/>
    </w:pPr>
    <w:rPr/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uthor">
    <w:name w:val="autho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paragraph" w:styleId="Text">
    <w:name w:val="tex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LibreOffice/7.1.4.2$Windows_X86_64 LibreOffice_project/a529a4fab45b75fefc5b6226684193eb000654f6</Application>
  <AppVersion>15.0000</AppVersion>
  <Pages>1</Pages>
  <Words>315</Words>
  <Characters>1788</Characters>
  <CharactersWithSpaces>2095</CharactersWithSpaces>
  <Paragraphs>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2026-01-21T14:54:28Z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