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jc w:val="center"/>
        <w:rPr>
          <w:b/>
          <w:b/>
          <w:bCs/>
          <w:color w:val="B400B4"/>
          <w:sz w:val="32"/>
          <w:szCs w:val="32"/>
          <w:u w:val="single"/>
        </w:rPr>
      </w:pPr>
      <w:r>
        <w:rPr>
          <w:b/>
          <w:bCs/>
          <w:color w:val="B400B4"/>
          <w:sz w:val="32"/>
          <w:szCs w:val="32"/>
          <w:u w:val="single"/>
        </w:rPr>
        <w:t>Preparedness</w:t>
      </w:r>
    </w:p>
    <w:p>
      <w:pPr>
        <w:pStyle w:val="Normal"/>
        <w:spacing w:before="0" w:after="280"/>
        <w:jc w:val="left"/>
        <w:rPr>
          <w:b/>
          <w:b/>
          <w:bCs/>
          <w:color w:val="000000"/>
          <w:sz w:val="28"/>
          <w:szCs w:val="28"/>
          <w:u w:val="none"/>
        </w:rPr>
      </w:pPr>
      <w:r>
        <w:rPr>
          <w:b/>
          <w:bCs/>
          <w:i w:val="false"/>
          <w:iCs w:val="false"/>
          <w:color w:val="000000"/>
          <w:sz w:val="28"/>
          <w:szCs w:val="28"/>
          <w:u w:val="single"/>
        </w:rPr>
        <w:t xml:space="preserve">Preparing for </w:t>
      </w:r>
      <w:r>
        <w:rPr>
          <w:b/>
          <w:i w:val="false"/>
          <w:iCs w:val="false"/>
          <w:color w:val="0000FF"/>
          <w:sz w:val="28"/>
          <w:szCs w:val="28"/>
          <w:u w:val="single"/>
        </w:rPr>
        <w:t>pandemics</w:t>
      </w:r>
      <w:r>
        <w:rPr>
          <w:b/>
          <w:i w:val="false"/>
          <w:iCs w:val="false"/>
          <w:sz w:val="28"/>
          <w:szCs w:val="28"/>
          <w:u w:val="single"/>
        </w:rPr>
        <w:t xml:space="preserve"> without U.S.</w:t>
      </w:r>
      <w:r>
        <w:rPr>
          <w:b/>
          <w:i w:val="false"/>
          <w:iCs w:val="false"/>
          <w:sz w:val="28"/>
          <w:szCs w:val="28"/>
        </w:rPr>
        <w:t xml:space="preserve">: The World Health Organization has proved it can function without Donald Trump’s U.S., said </w:t>
      </w:r>
      <w:r>
        <w:rPr>
          <w:b/>
          <w:i w:val="false"/>
          <w:iCs w:val="false"/>
          <w:sz w:val="28"/>
          <w:szCs w:val="28"/>
          <w:u w:val="single"/>
        </w:rPr>
        <w:t>Le Temps</w:t>
      </w:r>
      <w:r>
        <w:rPr>
          <w:b/>
          <w:i w:val="false"/>
          <w:iCs w:val="false"/>
          <w:sz w:val="28"/>
          <w:szCs w:val="28"/>
        </w:rPr>
        <w:t>. In fact, it may have “emerged stronger.” The U.S. contributed a fifth of the Geneva-based WHO’s budget, and American health experts were widely respected, so when Trump pulled out, WHO officials feared the agency would lose focus. But in a “hopeful ray of light,” the 194 remaining countries last week came together to clinch a global agreement on pandemic preparedness. Without Trump, who denied the need for such p</w:t>
      </w:r>
      <w:r>
        <w:rPr>
          <w:rFonts w:eastAsia="Times New Roman" w:cs="Times New Roman"/>
          <w:b/>
          <w:i w:val="false"/>
          <w:iCs w:val="false"/>
          <w:sz w:val="28"/>
          <w:szCs w:val="28"/>
        </w:rPr>
        <w:t>la</w:t>
      </w:r>
      <w:r>
        <w:rPr>
          <w:b/>
          <w:i w:val="false"/>
          <w:iCs w:val="false"/>
          <w:sz w:val="28"/>
          <w:szCs w:val="28"/>
        </w:rPr>
        <w:t>nning, reaching a compromise was actually easier. It still took p</w:t>
      </w:r>
      <w:r>
        <w:rPr>
          <w:rFonts w:eastAsia="Times New Roman" w:cs="Times New Roman"/>
          <w:b/>
          <w:i w:val="false"/>
          <w:iCs w:val="false"/>
          <w:sz w:val="28"/>
          <w:szCs w:val="28"/>
        </w:rPr>
        <w:t>le</w:t>
      </w:r>
      <w:r>
        <w:rPr>
          <w:b/>
          <w:i w:val="false"/>
          <w:iCs w:val="false"/>
          <w:sz w:val="28"/>
          <w:szCs w:val="28"/>
        </w:rPr>
        <w:t xml:space="preserve">nty of negotiation, of course. A dispute over vaccine and drug patents broke out between pharmaceutical powers, like the EU and Switzerland, and poorer nations, and it “almost derailed everything.” South Africa wanted a measure that would lift patents in an emergency so drugs and vaccines could be produced anywhere they were needed. In the end, diplomats “managed to wrest a compromise” that says patented information will be shared when everyone agrees. The new protocol establishes a system of access and fair compensation that should make vaccines available faster in the next pandemic. This is the first sign that the WHO can thrive despite the “drastic cuts in U.S. funding.” And it must. “Global health can only be a collective endeavor.” </w:t>
      </w:r>
      <w:r>
        <w:rPr>
          <w:b/>
          <w:i/>
          <w:iCs/>
          <w:sz w:val="28"/>
          <w:szCs w:val="28"/>
        </w:rPr>
        <w:t>(The Week magazine, May 2, 2025)</w:t>
      </w:r>
    </w:p>
    <w:p>
      <w:pPr>
        <w:pStyle w:val="NormalWeb"/>
        <w:spacing w:before="0" w:after="280"/>
        <w:jc w:val="left"/>
        <w:rPr>
          <w:b/>
          <w:b/>
          <w:bCs/>
          <w:color w:val="000000"/>
          <w:sz w:val="28"/>
          <w:szCs w:val="28"/>
          <w:u w:val="none"/>
        </w:rPr>
      </w:pPr>
      <w:r>
        <w:rPr>
          <w:b/>
          <w:bCs/>
          <w:color w:val="000000"/>
          <w:sz w:val="28"/>
          <w:szCs w:val="28"/>
          <w:u w:val="none"/>
        </w:rPr>
        <w:t xml:space="preserve">The </w:t>
      </w:r>
      <w:r>
        <w:rPr>
          <w:b/>
          <w:bCs/>
          <w:color w:val="0000FF"/>
          <w:sz w:val="28"/>
          <w:szCs w:val="28"/>
          <w:u w:val="none"/>
        </w:rPr>
        <w:t>Trump administration</w:t>
      </w:r>
      <w:r>
        <w:rPr>
          <w:b/>
          <w:bCs/>
          <w:color w:val="000000"/>
          <w:sz w:val="28"/>
          <w:szCs w:val="28"/>
          <w:u w:val="none"/>
        </w:rPr>
        <w:t xml:space="preserve">, hostile to expertise and academia, has shredded the CDC and other health agencies, slashing </w:t>
      </w:r>
      <w:r>
        <w:rPr>
          <w:b/>
          <w:bCs/>
          <w:color w:val="000000"/>
          <w:sz w:val="28"/>
          <w:szCs w:val="28"/>
          <w:u w:val="none"/>
        </w:rPr>
        <w:t xml:space="preserve">the </w:t>
      </w:r>
      <w:r>
        <w:rPr>
          <w:b/>
          <w:bCs/>
          <w:color w:val="000000"/>
          <w:sz w:val="28"/>
          <w:szCs w:val="28"/>
          <w:u w:val="none"/>
        </w:rPr>
        <w:t xml:space="preserve">resources needed to respond to outbreaks. It has demonized public health workers, even recently indicting a former NIH official with allegations that the agency suppressed “alternative theories” regarding Covid’s origin. And it has removed us from the World Health Organization, meaning the U.S. no longer receives updates about emerging threats. As a result, not surprisingly, the American response to the hantavirus so far has been abysmal, with officials belatedly issuing statements that are vague and weak, stirring further suspicion that we have again fallen one step behind a silent threat. For now, it’s up to all of us to stay vigilant, trying to move on while endlessly looking over our shoulder. </w:t>
      </w:r>
      <w:r>
        <w:rPr>
          <w:b/>
          <w:bCs/>
          <w:i/>
          <w:iCs/>
          <w:color w:val="000000"/>
          <w:sz w:val="28"/>
          <w:szCs w:val="28"/>
          <w:u w:val="none"/>
        </w:rPr>
        <w:t xml:space="preserve">(Jack Schonbrun, in </w:t>
      </w:r>
      <w:r>
        <w:rPr>
          <w:b/>
          <w:bCs/>
          <w:i/>
          <w:iCs/>
          <w:color w:val="000000"/>
          <w:sz w:val="28"/>
          <w:szCs w:val="28"/>
          <w:u w:val="single"/>
        </w:rPr>
        <w:t>The Week</w:t>
      </w:r>
      <w:r>
        <w:rPr>
          <w:b/>
          <w:bCs/>
          <w:i/>
          <w:iCs/>
          <w:color w:val="000000"/>
          <w:sz w:val="28"/>
          <w:szCs w:val="28"/>
          <w:u w:val="none"/>
        </w:rPr>
        <w:t xml:space="preserve"> magazine, May 22, 2026)</w:t>
      </w:r>
    </w:p>
    <w:p>
      <w:pPr>
        <w:pStyle w:val="NormalWeb"/>
        <w:spacing w:before="0" w:after="280"/>
        <w:jc w:val="left"/>
        <w:rPr>
          <w:i w:val="false"/>
          <w:i w:val="false"/>
          <w:iCs w:val="false"/>
          <w:color w:val="B400B4"/>
        </w:rPr>
      </w:pPr>
      <w:r>
        <w:rPr>
          <w:b/>
          <w:bCs/>
          <w:i w:val="false"/>
          <w:iCs w:val="false"/>
          <w:color w:val="B400B4"/>
          <w:sz w:val="28"/>
          <w:szCs w:val="28"/>
          <w:u w:val="none"/>
        </w:rPr>
        <w:t>******************************************************************</w:t>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21678074"/>
    </w:sdtPr>
    <w:sdtContent>
      <w:p>
        <w:pPr>
          <w:pStyle w:val="Footer"/>
          <w:jc w:val="center"/>
          <w:rPr>
            <w:color w:val="B400B4"/>
          </w:rPr>
        </w:pPr>
        <w:r>
          <w:rPr>
            <w:b/>
            <w:color w:val="B400B4"/>
            <w:sz w:val="28"/>
            <w:szCs w:val="28"/>
            <w:u w:val="single"/>
          </w:rPr>
          <w:t xml:space="preserve">Preparedness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1</w:t>
        </w:r>
        <w:r>
          <w:rPr>
            <w:sz w:val="28"/>
            <w:u w:val="single"/>
            <w:b/>
            <w:szCs w:val="28"/>
            <w:color w:val="B400B4"/>
          </w:rPr>
          <w:fldChar w:fldCharType="end"/>
        </w:r>
      </w:p>
    </w:sdtContent>
  </w:sdt>
  <w:p>
    <w:pPr>
      <w:pStyle w:val="Footer"/>
      <w:jc w:val="center"/>
      <w:rPr>
        <w:b/>
        <w:b/>
        <w:sz w:val="28"/>
        <w:szCs w:val="28"/>
        <w:u w:val="single"/>
      </w:rPr>
    </w:pPr>
    <w:r>
      <w:rPr>
        <w:b/>
        <w:sz w:val="28"/>
        <w:szCs w:val="28"/>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468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TMLCite">
    <w:name w:val="HTML Cite"/>
    <w:basedOn w:val="DefaultParagraphFont"/>
    <w:semiHidden/>
    <w:unhideWhenUsed/>
    <w:qFormat/>
    <w:rsid w:val="00284687"/>
    <w:rPr>
      <w:i/>
      <w:iCs/>
    </w:rPr>
  </w:style>
  <w:style w:type="character" w:styleId="Strong">
    <w:name w:val="Strong"/>
    <w:basedOn w:val="DefaultParagraphFont"/>
    <w:qFormat/>
    <w:rsid w:val="00284687"/>
    <w:rPr>
      <w:b/>
      <w:bCs/>
    </w:rPr>
  </w:style>
  <w:style w:type="character" w:styleId="Emphasis">
    <w:name w:val="Emphasis"/>
    <w:basedOn w:val="DefaultParagraphFont"/>
    <w:qFormat/>
    <w:rsid w:val="00284687"/>
    <w:rPr>
      <w:i/>
      <w:iCs/>
    </w:rPr>
  </w:style>
  <w:style w:type="character" w:styleId="HeaderChar" w:customStyle="1">
    <w:name w:val="Header Char"/>
    <w:basedOn w:val="DefaultParagraphFont"/>
    <w:link w:val="Header"/>
    <w:uiPriority w:val="99"/>
    <w:semiHidden/>
    <w:qFormat/>
    <w:rsid w:val="00284687"/>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284687"/>
    <w:rPr>
      <w:rFonts w:ascii="Times New Roman" w:hAnsi="Times New Roman" w:eastAsia="Times New Roman" w:cs="Times New Roman"/>
      <w:sz w:val="24"/>
      <w:szCs w:val="24"/>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character" w:styleId="Appleconvertedspace">
    <w:name w:val="apple-converted-space"/>
    <w:qFormat/>
    <w:rPr/>
  </w:style>
  <w:style w:type="character" w:styleId="Spelle">
    <w:name w:val="spelle"/>
    <w:qFormat/>
    <w:rPr/>
  </w:style>
  <w:style w:type="character" w:styleId="WW8Num1z0">
    <w:name w:val="WW8Num1z0"/>
    <w:qFormat/>
    <w:rPr/>
  </w:style>
  <w:style w:type="character" w:styleId="Pagenumber">
    <w:name w:val="page number"/>
    <w:qFormat/>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HTMLTypewriter">
    <w:name w:val="HTML Typewriter"/>
    <w:qFormat/>
    <w:rPr>
      <w:rFonts w:ascii="Courier New" w:hAnsi="Courier New" w:eastAsia="Courier New" w:cs="Courier New"/>
      <w:sz w:val="20"/>
      <w:szCs w:val="20"/>
    </w:rPr>
  </w:style>
  <w:style w:type="character" w:styleId="Heading3Char">
    <w:name w:val="Heading 3 Char"/>
    <w:qFormat/>
    <w:rPr>
      <w:rFonts w:ascii="Times New Roman" w:hAnsi="Times New Roman" w:eastAsia="Times New Roman" w:cs="Times New Roman"/>
      <w:b/>
      <w:bCs/>
      <w:sz w:val="27"/>
      <w:szCs w:val="27"/>
    </w:rPr>
  </w:style>
  <w:style w:type="character" w:styleId="HTMLPreformattedChar">
    <w:name w:val="HTML Preformatted Char"/>
    <w:qFormat/>
    <w:rPr>
      <w:rFonts w:ascii="Courier New" w:hAnsi="Courier New" w:eastAsia="Times New Roman" w:cs="Times New Roman"/>
      <w:b w:val="false"/>
      <w:sz w:val="20"/>
      <w:szCs w:val="20"/>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BalloonTextChar">
    <w:name w:val="Balloon Text Char"/>
    <w:qFormat/>
    <w:rPr>
      <w:rFonts w:ascii="Tahoma" w:hAnsi="Tahoma" w:eastAsia="Times New Roman" w:cs="Tahoma"/>
      <w:sz w:val="16"/>
      <w:szCs w:val="1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Heading1Char">
    <w:name w:val="Heading 1 Char"/>
    <w:qFormat/>
    <w:rPr>
      <w:rFonts w:ascii="Times New Roman" w:hAnsi="Times New Roman" w:eastAsia="Times New Roman" w:cs="Times New Roman"/>
      <w:b/>
      <w:bCs/>
      <w:sz w:val="48"/>
      <w:szCs w:val="48"/>
    </w:rPr>
  </w:style>
  <w:style w:type="character" w:styleId="Heading2Char">
    <w:name w:val="Heading 2 Char"/>
    <w:qFormat/>
    <w:rPr>
      <w:rFonts w:ascii="Cambria" w:hAnsi="Cambria" w:cs="0"/>
      <w:b/>
      <w:bCs/>
      <w:color w:val="4F81BD"/>
      <w:sz w:val="26"/>
      <w:szCs w:val="26"/>
    </w:rPr>
  </w:style>
  <w:style w:type="character" w:styleId="TitleChar">
    <w:name w:val="Title Char"/>
    <w:qFormat/>
    <w:rPr>
      <w:rFonts w:ascii="Times New Roman" w:hAnsi="Times New Roman" w:eastAsia="Times New Roman" w:cs="Times New Roman"/>
      <w:b/>
      <w:iCs/>
      <w:color w:val="000000"/>
      <w:sz w:val="32"/>
      <w:szCs w:val="28"/>
      <w:u w:val="single"/>
    </w:rPr>
  </w:style>
  <w:style w:type="character" w:styleId="BodyTextChar">
    <w:name w:val="Body Text Char"/>
    <w:qFormat/>
    <w:rPr>
      <w:rFonts w:ascii="Times New Roman" w:hAnsi="Times New Roman" w:eastAsia="Times New Roman" w:cs="Times New Roman"/>
    </w:rPr>
  </w:style>
  <w:style w:type="character" w:styleId="BodyText2Char">
    <w:name w:val="Body Text 2 Char"/>
    <w:qFormat/>
    <w:rPr>
      <w:rFonts w:ascii="Times New Roman" w:hAnsi="Times New Roman" w:eastAsia="Times New Roman" w:cs="Times New Roman"/>
      <w:b/>
      <w:i/>
      <w:color w:val="000000"/>
      <w:sz w:val="28"/>
      <w:szCs w:val="2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unhideWhenUsed/>
    <w:qFormat/>
    <w:rsid w:val="00284687"/>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284687"/>
    <w:pPr>
      <w:tabs>
        <w:tab w:val="clear" w:pos="720"/>
        <w:tab w:val="center" w:pos="4680" w:leader="none"/>
        <w:tab w:val="right" w:pos="9360" w:leader="none"/>
      </w:tabs>
    </w:pPr>
    <w:rPr/>
  </w:style>
  <w:style w:type="paragraph" w:styleId="Footer">
    <w:name w:val="Footer"/>
    <w:basedOn w:val="Normal"/>
    <w:link w:val="FooterChar"/>
    <w:uiPriority w:val="99"/>
    <w:unhideWhenUsed/>
    <w:rsid w:val="00284687"/>
    <w:pPr>
      <w:tabs>
        <w:tab w:val="clear" w:pos="720"/>
        <w:tab w:val="center" w:pos="4680" w:leader="none"/>
        <w:tab w:val="right" w:pos="9360" w:leader="none"/>
      </w:tabs>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ListParagraph">
    <w:name w:val="List Paragraph"/>
    <w:basedOn w:val="Normal"/>
    <w:qFormat/>
    <w:pPr>
      <w:spacing w:before="0" w:after="0"/>
      <w:ind w:left="720" w:hanging="0"/>
      <w:contextualSpacing/>
    </w:pPr>
    <w:rPr/>
  </w:style>
  <w:style w:type="paragraph" w:styleId="NoSpacing">
    <w:name w:val="No Spacing"/>
    <w:basedOn w:val="Normal"/>
    <w:qFormat/>
    <w:pPr>
      <w:spacing w:lineRule="exact" w:line="240"/>
    </w:pPr>
    <w:rPr/>
  </w:style>
  <w:style w:type="paragraph" w:styleId="BalloonText">
    <w:name w:val="Balloon Text"/>
    <w:basedOn w:val="Normal"/>
    <w:qFormat/>
    <w:pPr/>
    <w:rPr>
      <w:rFonts w:ascii="Tahoma" w:hAnsi="Tahoma" w:cs="Tahoma"/>
      <w:sz w:val="16"/>
      <w:szCs w:val="16"/>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Default">
    <w:name w:val="default"/>
    <w:basedOn w:val="Normal"/>
    <w:qFormat/>
    <w:pPr>
      <w:spacing w:beforeAutospacing="1" w:afterAutospacing="1"/>
    </w:pPr>
    <w:rPr/>
  </w:style>
  <w:style w:type="paragraph" w:styleId="Body">
    <w:name w:val="body"/>
    <w:basedOn w:val="Normal"/>
    <w:qFormat/>
    <w:pPr>
      <w:spacing w:beforeAutospacing="1" w:afterAutospacing="1"/>
    </w:pPr>
    <w:rPr/>
  </w:style>
  <w:style w:type="paragraph" w:styleId="BodyText2">
    <w:name w:val="Body Text 2"/>
    <w:basedOn w:val="Normal"/>
    <w:qFormat/>
    <w:pPr/>
    <w:rPr>
      <w:b/>
      <w:i/>
      <w:color w:val="000000"/>
      <w:sz w:val="28"/>
      <w:szCs w:val="28"/>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LibreOffice/7.1.4.2$Windows_X86_64 LibreOffice_project/a529a4fab45b75fefc5b6226684193eb000654f6</Application>
  <AppVersion>15.0000</AppVersion>
  <Pages>1</Pages>
  <Words>369</Words>
  <Characters>2014</Characters>
  <CharactersWithSpaces>2378</CharactersWithSpaces>
  <Paragraphs>5</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2026-06-03T10:41:29Z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